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3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18"/>
        <w:gridCol w:w="11919"/>
      </w:tblGrid>
      <w:tr w:rsidR="009B1CB1">
        <w:tc>
          <w:tcPr>
            <w:tcW w:w="1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DISCIPLINA: SCIENZE                                                               </w:t>
            </w:r>
            <w:r>
              <w:rPr>
                <w:noProof/>
                <w:lang w:eastAsia="it-IT"/>
              </w:rPr>
              <w:drawing>
                <wp:inline distT="0" distB="0" distL="0" distR="0" wp14:anchorId="3E22368C" wp14:editId="41936A02">
                  <wp:extent cx="1667510" cy="770890"/>
                  <wp:effectExtent l="0" t="0" r="0" b="0"/>
                  <wp:docPr id="2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770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>
              <w:rPr>
                <w:rFonts w:eastAsia="Calibri"/>
                <w:b/>
                <w:sz w:val="20"/>
                <w:szCs w:val="20"/>
              </w:rPr>
              <w:t>CLASSE : QUINTA</w: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1" allowOverlap="1" wp14:anchorId="0923C16A" wp14:editId="3BBFAF9D">
                      <wp:simplePos x="0" y="0"/>
                      <wp:positionH relativeFrom="margin">
                        <wp:posOffset>3428365</wp:posOffset>
                      </wp:positionH>
                      <wp:positionV relativeFrom="paragraph">
                        <wp:posOffset>-1179830</wp:posOffset>
                      </wp:positionV>
                      <wp:extent cx="1668145" cy="770890"/>
                      <wp:effectExtent l="0" t="0" r="0" b="0"/>
                      <wp:wrapNone/>
                      <wp:docPr id="1" name="Cornic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8145" cy="770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</wps:spPr>
                            <wps:txbx>
                              <w:txbxContent>
                                <w:p w:rsidR="009B1CB1" w:rsidRDefault="009B1CB1"/>
                              </w:txbxContent>
                            </wps:txbx>
                            <wps:bodyPr lIns="92075" tIns="46355" rIns="92075" bIns="46355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ornice1" o:spid="_x0000_s1026" type="#_x0000_t202" style="position:absolute;margin-left:269.95pt;margin-top:-92.9pt;width:131.35pt;height:60.7pt;z-index: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" stroked="f">
                      <v:textbox style="mso-fit-shape-to-text:t" inset="7.25pt,3.65pt,7.25pt,3.65pt">
                        <w:txbxContent>
                          <w:p w:rsidR="009B1CB1" w:rsidRDefault="009B1CB1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9B1CB1" w:rsidRDefault="00B07CDB" w:rsidP="00B07CDB">
            <w:pPr>
              <w:spacing w:line="240" w:lineRule="auto"/>
              <w:rPr>
                <w:rFonts w:eastAsia="Calibri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B1CB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pPr>
              <w:spacing w:after="160" w:line="256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Obiettivi specifici di apprendimento</w:t>
            </w:r>
          </w:p>
          <w:p w:rsidR="009B1CB1" w:rsidRDefault="00B07CDB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(D.M. 7/10/2010 n.211)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pPr>
              <w:autoSpaceDE w:val="0"/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Chimica - Biologia</w:t>
            </w:r>
          </w:p>
          <w:p w:rsidR="009B1CB1" w:rsidRDefault="00B07CDB">
            <w:pPr>
              <w:autoSpaceDE w:val="0"/>
              <w:spacing w:line="240" w:lineRule="auto"/>
            </w:pPr>
            <w:r>
              <w:rPr>
                <w:rFonts w:eastAsia="TTE18289B0t00;MS Mincho"/>
                <w:sz w:val="20"/>
                <w:szCs w:val="20"/>
              </w:rPr>
              <w:t>Il percorso di chimica organica e quello di biologia si intrecciano</w:t>
            </w:r>
            <w:r>
              <w:rPr>
                <w:rFonts w:eastAsia="TTE18289B0t00;MS Mincho"/>
                <w:sz w:val="20"/>
                <w:szCs w:val="20"/>
              </w:rPr>
              <w:t xml:space="preserve"> nella biochimica e nello studio dei biomateriali, relativamente alla struttura e alla funzione di molecole di interesse biologico. Si porrà  l’accento sui processi biologici/biochimici in relazione alla realtà odierna e a temi di attualità, in particolare</w:t>
            </w:r>
            <w:r>
              <w:rPr>
                <w:rFonts w:eastAsia="TTE18289B0t00;MS Mincho"/>
                <w:sz w:val="20"/>
                <w:szCs w:val="20"/>
              </w:rPr>
              <w:t xml:space="preserve"> quelli legati all’ingegneria genetica e alle sue applicazioni.</w:t>
            </w:r>
          </w:p>
          <w:p w:rsidR="009B1CB1" w:rsidRDefault="009B1CB1">
            <w:pPr>
              <w:autoSpaceDE w:val="0"/>
              <w:spacing w:line="240" w:lineRule="auto"/>
              <w:rPr>
                <w:rFonts w:eastAsia="TTE18289B0t00;MS Mincho"/>
                <w:sz w:val="20"/>
                <w:szCs w:val="20"/>
              </w:rPr>
            </w:pPr>
          </w:p>
          <w:p w:rsidR="009B1CB1" w:rsidRDefault="00B07CDB">
            <w:pPr>
              <w:autoSpaceDE w:val="0"/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Scienze della Terra</w:t>
            </w:r>
          </w:p>
          <w:p w:rsidR="009B1CB1" w:rsidRDefault="00B07CDB">
            <w:pPr>
              <w:autoSpaceDE w:val="0"/>
              <w:spacing w:line="240" w:lineRule="auto"/>
            </w:pPr>
            <w:r>
              <w:rPr>
                <w:rFonts w:eastAsia="TTE18289B0t00;MS Mincho"/>
                <w:sz w:val="20"/>
                <w:szCs w:val="20"/>
              </w:rPr>
              <w:t>Si studiano i complessi fenomeni meteorologici e i modelli della tettonica globale, con particolare attenzione alla identificazione delle interrelazioni tra i fenomeni che</w:t>
            </w:r>
            <w:r>
              <w:rPr>
                <w:rFonts w:eastAsia="TTE18289B0t00;MS Mincho"/>
                <w:sz w:val="20"/>
                <w:szCs w:val="20"/>
              </w:rPr>
              <w:t xml:space="preserve"> avvengono a livello delle diverse organizzazioni del pianeta (litosfera, atmosfera, idrosfera).</w:t>
            </w:r>
          </w:p>
          <w:p w:rsidR="009B1CB1" w:rsidRDefault="009B1CB1">
            <w:pPr>
              <w:autoSpaceDE w:val="0"/>
              <w:spacing w:line="240" w:lineRule="auto"/>
              <w:rPr>
                <w:rFonts w:eastAsia="TTE18289B0t00;MS Mincho"/>
                <w:sz w:val="20"/>
                <w:szCs w:val="20"/>
              </w:rPr>
            </w:pPr>
          </w:p>
          <w:p w:rsidR="009B1CB1" w:rsidRDefault="00B07CDB">
            <w:pPr>
              <w:autoSpaceDE w:val="0"/>
              <w:spacing w:line="240" w:lineRule="auto"/>
            </w:pPr>
            <w:r>
              <w:rPr>
                <w:rFonts w:eastAsia="TTE18289B0t00;MS Mincho"/>
                <w:sz w:val="20"/>
                <w:szCs w:val="20"/>
              </w:rPr>
              <w:t xml:space="preserve">Si potranno svolgere inoltre approfondimenti sui contenuti precedenti e/o su temi scelti ad esempio tra quelli legati all’ecologia, alle risorse energetiche, </w:t>
            </w:r>
            <w:r>
              <w:rPr>
                <w:rFonts w:eastAsia="TTE18289B0t00;MS Mincho"/>
                <w:sz w:val="20"/>
                <w:szCs w:val="20"/>
              </w:rPr>
              <w:t>alle fonti rinnovabili, alle condizioni di equilibrio dei sistemi ambientali (cicli biogeochimici), ai nuovi materiali o su altri temi, anche legati ai contenuti disciplinari svolti negli anni precedenti.</w:t>
            </w:r>
          </w:p>
          <w:p w:rsidR="009B1CB1" w:rsidRDefault="00B07CDB">
            <w:pPr>
              <w:autoSpaceDE w:val="0"/>
              <w:spacing w:line="240" w:lineRule="auto"/>
            </w:pPr>
            <w:r>
              <w:rPr>
                <w:rFonts w:eastAsia="TTE18289B0t00;MS Mincho"/>
                <w:sz w:val="20"/>
                <w:szCs w:val="20"/>
              </w:rPr>
              <w:t>Tali approfondimenti saranno svolti, quando possibi</w:t>
            </w:r>
            <w:r>
              <w:rPr>
                <w:rFonts w:eastAsia="TTE18289B0t00;MS Mincho"/>
                <w:sz w:val="20"/>
                <w:szCs w:val="20"/>
              </w:rPr>
              <w:t>le, in raccordo con i corsi di fisica, matematica, storia e filosofia. Il raccordo con il corso di fisica, in particolare, favorirà l’acquisizione da parte dello studente di linguaggi e strumenti complementari che gli</w:t>
            </w:r>
          </w:p>
          <w:p w:rsidR="009B1CB1" w:rsidRDefault="00B07CDB">
            <w:pPr>
              <w:spacing w:line="240" w:lineRule="auto"/>
              <w:rPr>
                <w:rFonts w:eastAsia="TTE18289B0t00;MS Mincho"/>
                <w:sz w:val="20"/>
                <w:szCs w:val="20"/>
              </w:rPr>
            </w:pPr>
            <w:r>
              <w:rPr>
                <w:rFonts w:eastAsia="TTE18289B0t00;MS Mincho"/>
                <w:sz w:val="20"/>
                <w:szCs w:val="20"/>
              </w:rPr>
              <w:t>consentiranno di affrontare con maggio</w:t>
            </w:r>
            <w:r>
              <w:rPr>
                <w:rFonts w:eastAsia="TTE18289B0t00;MS Mincho"/>
                <w:sz w:val="20"/>
                <w:szCs w:val="20"/>
              </w:rPr>
              <w:t>re dimestichezza problemi complessi e interdisciplinari</w:t>
            </w:r>
          </w:p>
          <w:p w:rsidR="009B1CB1" w:rsidRDefault="009B1CB1">
            <w:pPr>
              <w:spacing w:line="240" w:lineRule="auto"/>
              <w:rPr>
                <w:rFonts w:eastAsia="TTE18289B0t00;MS Mincho"/>
                <w:sz w:val="20"/>
                <w:szCs w:val="20"/>
              </w:rPr>
            </w:pPr>
          </w:p>
          <w:p w:rsidR="009B1CB1" w:rsidRDefault="00B07CDB">
            <w:pPr>
              <w:autoSpaceDE w:val="0"/>
              <w:spacing w:line="240" w:lineRule="auto"/>
              <w:rPr>
                <w:rFonts w:eastAsia="TTE18289B0t00;MS Mincho"/>
                <w:sz w:val="20"/>
                <w:szCs w:val="20"/>
              </w:rPr>
            </w:pPr>
            <w:r>
              <w:rPr>
                <w:rFonts w:eastAsia="TTE18289B0t00;MS Mincho"/>
                <w:sz w:val="20"/>
                <w:szCs w:val="20"/>
              </w:rPr>
              <w:t xml:space="preserve">La dimensione sperimentale, infine, potrà essere ulteriormente approfondita con attività da svolgersi non solo nei laboratori didattici della scuola, ma anche presso laboratori di università ed enti </w:t>
            </w:r>
            <w:r>
              <w:rPr>
                <w:rFonts w:eastAsia="TTE18289B0t00;MS Mincho"/>
                <w:sz w:val="20"/>
                <w:szCs w:val="20"/>
              </w:rPr>
              <w:t>di ricerca, aderendo anche a progetti di orientamento.</w:t>
            </w:r>
          </w:p>
        </w:tc>
      </w:tr>
      <w:tr w:rsidR="009B1CB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9B1CB1">
            <w:pPr>
              <w:spacing w:after="160" w:line="256" w:lineRule="auto"/>
              <w:jc w:val="center"/>
            </w:pPr>
          </w:p>
          <w:p w:rsidR="009B1CB1" w:rsidRDefault="00B07CDB">
            <w:pPr>
              <w:spacing w:after="160" w:line="25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Contenuti </w:t>
            </w:r>
          </w:p>
          <w:p w:rsidR="009B1CB1" w:rsidRDefault="009B1CB1">
            <w:pPr>
              <w:spacing w:line="240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Chimica organica </w:t>
            </w:r>
          </w:p>
          <w:p w:rsidR="009B1CB1" w:rsidRDefault="00B07CDB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La chimica del carbonio. L’ibridazione del carbonio.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Gli idrocarburi: alcani, alcheni e alchini e loro principali proprietà fisiche e chimiche. Nomenclatura IUPAC. Il </w:t>
            </w:r>
            <w:r>
              <w:rPr>
                <w:rFonts w:eastAsia="Times New Roman"/>
                <w:sz w:val="20"/>
                <w:szCs w:val="20"/>
              </w:rPr>
              <w:t>petrolio e i suoi derivati. Classificazione dei composti organici in base ai differenti gruppi funzionali, legami chimici e caratteristiche  strutturali. I composti aromatici. L’isomeria nei composti organici. Isomeri di struttura, conformazionali e config</w:t>
            </w:r>
            <w:r>
              <w:rPr>
                <w:rFonts w:eastAsia="Times New Roman"/>
                <w:sz w:val="20"/>
                <w:szCs w:val="20"/>
              </w:rPr>
              <w:t>urazionali. Caratterizzazione delle principali tipologie di reazioni organiche.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Biochimica</w:t>
            </w: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Le principali classi di biomolecole, carboidrati, lipidi, proteine e acidi nucleici. Struttura chimica e funzioni.</w:t>
            </w: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 xml:space="preserve">Il metabolismo cellulare: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processi anabolici e c</w:t>
            </w:r>
            <w:r>
              <w:rPr>
                <w:rFonts w:eastAsia="Times New Roman"/>
                <w:sz w:val="20"/>
                <w:szCs w:val="20"/>
              </w:rPr>
              <w:t>atabolici  nella cellula (respirazione cellulare e fotosintesi). Metabolismo di lipidi, proteine e acidi nucleici. Le principali disfunzioni metaboliche.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Genetica e Biologia molecolare</w:t>
            </w:r>
          </w:p>
          <w:p w:rsidR="009B1CB1" w:rsidRDefault="00B07CDB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La tecnica del DNA ricombinante. Gli enzimi di restrizione, plasmidi, librerie genomiche.  Le principali applicazioni dell’ingegneria genetica in ambito medico-sanitario, ambientale e agroalimentare.  Gli OGM.  Dalla genomica alla proteomica a all’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epigenom</w:t>
            </w:r>
            <w:r>
              <w:rPr>
                <w:rFonts w:eastAsia="Times New Roman"/>
                <w:sz w:val="20"/>
                <w:szCs w:val="20"/>
              </w:rPr>
              <w:t>ica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Il futuro della genetica moderna. 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b/>
                <w:sz w:val="20"/>
                <w:szCs w:val="20"/>
              </w:rPr>
              <w:t xml:space="preserve">Scienze della Terra </w:t>
            </w:r>
          </w:p>
          <w:p w:rsidR="009B1CB1" w:rsidRDefault="00B07CDB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lastRenderedPageBreak/>
              <w:t>Modello della struttura interna della Terra</w:t>
            </w:r>
          </w:p>
          <w:p w:rsidR="009B1CB1" w:rsidRDefault="00B07CDB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Come si studia l’interno della Terra. Le superfici di discontinuità. Modello della struttura interna della Terra. Calore interno e flusso geotermico. </w:t>
            </w:r>
            <w:r>
              <w:rPr>
                <w:rFonts w:eastAsia="Times New Roman"/>
                <w:sz w:val="20"/>
                <w:szCs w:val="20"/>
              </w:rPr>
              <w:t xml:space="preserve">Il campo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magneticoterrrestre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Tre teorie per spiegare la dinamica della litosfera</w:t>
            </w: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 xml:space="preserve">Le tappe fondamentali che hanno portato  alla elaborazione della </w:t>
            </w:r>
            <w:r>
              <w:rPr>
                <w:rFonts w:eastAsia="Times New Roman"/>
                <w:b/>
                <w:sz w:val="20"/>
                <w:szCs w:val="20"/>
              </w:rPr>
              <w:t>Teoria della Tettonica delle  Placche</w:t>
            </w:r>
            <w:r>
              <w:rPr>
                <w:rFonts w:eastAsia="Times New Roman"/>
                <w:sz w:val="20"/>
                <w:szCs w:val="20"/>
              </w:rPr>
              <w:t>: l’isostasia e la deriva dei continenti,  il paleomagnetismo, l’espans</w:t>
            </w:r>
            <w:r>
              <w:rPr>
                <w:rFonts w:eastAsia="Times New Roman"/>
                <w:sz w:val="20"/>
                <w:szCs w:val="20"/>
              </w:rPr>
              <w:t>ione dei fondali oceanici.  Le placche: margini costruttivi, distruttivi e conservativi. I fenomeni orogenetici. Comprensione dei complessi  fenomeni  geologici attraverso il modello globale della tettonica delle placche.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L’atmosfera</w:t>
            </w:r>
          </w:p>
          <w:p w:rsidR="009B1CB1" w:rsidRDefault="00B07CDB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Struttura e parametri</w:t>
            </w:r>
            <w:r>
              <w:rPr>
                <w:rFonts w:eastAsia="Times New Roman"/>
                <w:sz w:val="20"/>
                <w:szCs w:val="20"/>
              </w:rPr>
              <w:t xml:space="preserve"> chimico-fisici.  L’Energia solare e il Sistema Terra: la complessa macchina dell’atmosfera terrestre, fenomeni e cause.  L’evoluzione dell’atmosfera  nel tempo: cause naturali e  antropiche.   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La Terra: un sistema complesso</w:t>
            </w: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Uno sguardo d’insieme alle pr</w:t>
            </w:r>
            <w:r>
              <w:rPr>
                <w:rFonts w:eastAsia="Times New Roman"/>
                <w:sz w:val="20"/>
                <w:szCs w:val="20"/>
              </w:rPr>
              <w:t>incipali  relazioni fra le diverse sfere (litosfera, idrosfera, atmosfera e biosfera), i cicli biogeochimici.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La Geosfera e l’uomo</w:t>
            </w: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L’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Antropocene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: l’azione dell’uomo  su scala  globale: cause e effetti sul Sistema Terra. </w:t>
            </w:r>
          </w:p>
          <w:p w:rsidR="009B1CB1" w:rsidRDefault="00B07CDB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Un possibile  futuro: lo sviluppo </w:t>
            </w:r>
            <w:r>
              <w:rPr>
                <w:rFonts w:eastAsia="Times New Roman"/>
                <w:sz w:val="20"/>
                <w:szCs w:val="20"/>
              </w:rPr>
              <w:t>sostenibile</w:t>
            </w:r>
          </w:p>
        </w:tc>
      </w:tr>
      <w:tr w:rsidR="009B1CB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pPr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</w:t>
            </w:r>
            <w:r>
              <w:rPr>
                <w:rFonts w:eastAsia="Calibri"/>
                <w:b/>
                <w:sz w:val="20"/>
                <w:szCs w:val="20"/>
              </w:rPr>
              <w:t>Abilità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In funzione di scopi di realtà e di studio, l’allievo sarà in grado di: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(in ambito BIOCHIMICO)</w:t>
            </w: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b/>
                <w:sz w:val="20"/>
                <w:szCs w:val="20"/>
              </w:rPr>
              <w:t xml:space="preserve">-  </w:t>
            </w:r>
            <w:r>
              <w:rPr>
                <w:rFonts w:eastAsia="Times New Roman"/>
                <w:sz w:val="20"/>
                <w:szCs w:val="20"/>
              </w:rPr>
              <w:t xml:space="preserve">applicare le regole della nomenclatura IUPAC per denominare i composti organici più significativi (idrocarburi, alogeno derivati,  </w:t>
            </w:r>
            <w:r>
              <w:rPr>
                <w:rFonts w:eastAsia="Times New Roman"/>
                <w:sz w:val="20"/>
                <w:szCs w:val="20"/>
              </w:rPr>
              <w:t>composti ossigenati e azotati). Parte dalle conoscenze sulle più attuali tecniche di estrazione del petrolio e gas naturale(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shale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oil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shale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gas) e delle ricadute in campo  strategico e politico a livello mondiale.</w:t>
            </w:r>
          </w:p>
          <w:p w:rsidR="009B1CB1" w:rsidRDefault="00B07CDB">
            <w:pPr>
              <w:spacing w:line="240" w:lineRule="auto"/>
              <w:jc w:val="both"/>
              <w:rPr>
                <w:rFonts w:eastAsia="Times New Roman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B1CB1" w:rsidRDefault="00B07CDB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classificare e distinguere i princip</w:t>
            </w:r>
            <w:r>
              <w:rPr>
                <w:rFonts w:eastAsia="Times New Roman"/>
                <w:sz w:val="20"/>
                <w:szCs w:val="20"/>
              </w:rPr>
              <w:t>ali composti organici attraverso la corretta nomenclatura, formula chimica, gruppi funzionali, specifiche proprietà fisiche e chimiche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sz w:val="20"/>
                <w:szCs w:val="20"/>
              </w:rPr>
              <w:t xml:space="preserve">- distinguere un carbonio chirale da uno non chirale ed i diversi tipi di isomeri, strutturali, stereoisomeri  ed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enanti</w:t>
            </w:r>
            <w:r>
              <w:rPr>
                <w:rFonts w:eastAsia="Times New Roman"/>
                <w:sz w:val="20"/>
                <w:szCs w:val="20"/>
              </w:rPr>
              <w:t>omeri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sz w:val="20"/>
                <w:szCs w:val="20"/>
              </w:rPr>
              <w:t>- ricostruire il meccanismo delle reazioni di sostituzione nucleofila, eliminazione e addizione nucleofila e ossidazione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sz w:val="20"/>
                <w:szCs w:val="20"/>
              </w:rPr>
              <w:t>- utilizzare le proprie conoscenze sui meccanismi di polimerizzazione (addizione e condensazione) per distinguere le fonti, le</w:t>
            </w:r>
            <w:r>
              <w:rPr>
                <w:rFonts w:eastAsia="Times New Roman"/>
                <w:sz w:val="20"/>
                <w:szCs w:val="20"/>
              </w:rPr>
              <w:t xml:space="preserve"> proprietà e  l’impiego dei più comuni polimeri organici di sintesi  (plastiche e fibre)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sz w:val="20"/>
                <w:szCs w:val="20"/>
              </w:rPr>
              <w:t xml:space="preserve">- correlare struttura chimica e funzioni biologiche  delle  principali biomolecole 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utilizzare il concetto di metabolismo, anabolismo e catabolismo, per distinguer</w:t>
            </w:r>
            <w:r>
              <w:rPr>
                <w:rFonts w:eastAsia="Times New Roman"/>
                <w:sz w:val="20"/>
                <w:szCs w:val="20"/>
              </w:rPr>
              <w:t>e le principali reazioni biochimiche in una cellula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sz w:val="20"/>
                <w:szCs w:val="20"/>
              </w:rPr>
              <w:t xml:space="preserve">- applicare i principi della termodinamica alle reazioni di natura  biochimica,  quali la sintesi e l’utilizzo dell’ATP quale fonte di energia 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utilizzare le proprie conoscenze in campo biochimico  e </w:t>
            </w:r>
            <w:r>
              <w:rPr>
                <w:rFonts w:eastAsia="Times New Roman"/>
                <w:sz w:val="20"/>
                <w:szCs w:val="20"/>
              </w:rPr>
              <w:t xml:space="preserve">cellulare per ricostruire  i processi tipici del metabolismo energetico: della glicolisi e fermentazione, ciclo di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Krebs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fosforilizzazione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ossidativa  e fotosintesi clorofilliana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sz w:val="20"/>
                <w:szCs w:val="20"/>
              </w:rPr>
              <w:t>- applicare le proprie conoscenze per illustrare  l’importanza della catali</w:t>
            </w:r>
            <w:r>
              <w:rPr>
                <w:rFonts w:eastAsia="Times New Roman"/>
                <w:sz w:val="20"/>
                <w:szCs w:val="20"/>
              </w:rPr>
              <w:t xml:space="preserve">si enzimatica 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sz w:val="20"/>
                <w:szCs w:val="20"/>
              </w:rPr>
              <w:t xml:space="preserve">- spiegare ruolo e funzione  dei trasportatori di elettroni FAD E NAD(P) 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sz w:val="20"/>
                <w:szCs w:val="20"/>
              </w:rPr>
              <w:t>- applicare/utilizzare le conoscenze, gli strumenti e le tecniche acquisite della ingegneria genetica e biologia molecolare per sviluppare/descrivere le principali b</w:t>
            </w:r>
            <w:r>
              <w:rPr>
                <w:rFonts w:eastAsia="Times New Roman"/>
                <w:sz w:val="20"/>
                <w:szCs w:val="20"/>
              </w:rPr>
              <w:t xml:space="preserve">iotecnologie (tecnologia del DNA ricombinante e uso di enzimi di restrizione e plasmidi,, sequenziamento del DNA,) e loro applicazioni attuali e future in campo biomedico, industriale e agricolo  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sz w:val="20"/>
                <w:szCs w:val="20"/>
              </w:rPr>
              <w:t>- spiegare  le criticità dal punto di vista bioetico della</w:t>
            </w:r>
            <w:r>
              <w:rPr>
                <w:rFonts w:eastAsia="Times New Roman"/>
                <w:sz w:val="20"/>
                <w:szCs w:val="20"/>
              </w:rPr>
              <w:t xml:space="preserve"> applicazione delle tecniche della biologia molecolare facendo riferimento a avvenimenti di cronaca e contesti reali </w:t>
            </w:r>
          </w:p>
          <w:p w:rsidR="009B1CB1" w:rsidRDefault="009B1CB1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rFonts w:eastAsia="Times New Roman"/>
                <w:sz w:val="20"/>
                <w:szCs w:val="20"/>
              </w:rPr>
              <w:t xml:space="preserve">- distinguere genomica da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trascrittomica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proteomica 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metabolomica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ed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epigenomica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9B1CB1" w:rsidRDefault="00B07CDB">
            <w:pPr>
              <w:spacing w:line="240" w:lineRule="auto"/>
              <w:jc w:val="both"/>
              <w:rPr>
                <w:rFonts w:eastAsia="Times New Roman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B1CB1" w:rsidRDefault="00B07CDB">
            <w:pPr>
              <w:spacing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(nell’ambito delle Scienze della Terra)</w:t>
            </w:r>
          </w:p>
          <w:p w:rsidR="009B1CB1" w:rsidRDefault="00B07CDB">
            <w:pPr>
              <w:tabs>
                <w:tab w:val="left" w:pos="3018"/>
              </w:tabs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 correlar</w:t>
            </w:r>
            <w:r>
              <w:rPr>
                <w:rFonts w:eastAsia="Times New Roman"/>
                <w:sz w:val="20"/>
                <w:szCs w:val="20"/>
              </w:rPr>
              <w:t>e le informazioni attuali sulla struttura interna della Terra ai diversi metodi indiretti con i quali sono state ottenute</w:t>
            </w:r>
          </w:p>
          <w:p w:rsidR="009B1CB1" w:rsidRDefault="009B1CB1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tabs>
                <w:tab w:val="left" w:pos="3018"/>
              </w:tabs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 contestualizzare il passaggio dalle teorie fissiste alla moderna teoria della Tettonica delle placche in relazione al panorama stor</w:t>
            </w:r>
            <w:r>
              <w:rPr>
                <w:rFonts w:eastAsia="Times New Roman"/>
                <w:sz w:val="20"/>
                <w:szCs w:val="20"/>
              </w:rPr>
              <w:t>ico complessivo delle idee  e principali scoperte  in campo scientifico, dal principio dell’isostasia del XIX secolo fino all’espansione dei fondali oceanici nel XX secolo</w:t>
            </w:r>
          </w:p>
          <w:p w:rsidR="009B1CB1" w:rsidRDefault="009B1CB1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utilizzare la teoria della tettonica delle placche per motivare, con un unico </w:t>
            </w:r>
            <w:r>
              <w:rPr>
                <w:rFonts w:eastAsia="Times New Roman"/>
                <w:sz w:val="20"/>
                <w:szCs w:val="20"/>
              </w:rPr>
              <w:t>modello, i fenomeni sismici, vulcanici ed orogenetici</w:t>
            </w:r>
          </w:p>
          <w:p w:rsidR="009B1CB1" w:rsidRDefault="009B1CB1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saper localizzare geograficamente fenomeni naturali e determinarne i rapporti di causa ed effetto </w:t>
            </w:r>
          </w:p>
          <w:p w:rsidR="009B1CB1" w:rsidRDefault="009B1CB1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tabs>
                <w:tab w:val="left" w:pos="3018"/>
              </w:tabs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 applicare le proprie conoscenze sulle caratteristiche fisico-chimiche dell’atmosfera  per ricostr</w:t>
            </w:r>
            <w:r>
              <w:rPr>
                <w:rFonts w:eastAsia="Times New Roman"/>
                <w:sz w:val="20"/>
                <w:szCs w:val="20"/>
              </w:rPr>
              <w:t>uirne dinamica e struttura</w:t>
            </w:r>
          </w:p>
          <w:p w:rsidR="009B1CB1" w:rsidRDefault="009B1CB1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tabs>
                <w:tab w:val="left" w:pos="3018"/>
              </w:tabs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 saper ricostruire i flussi di energia fra  il sistema Terra e lo spazio partendo dal concetto di costante solare</w:t>
            </w:r>
          </w:p>
          <w:p w:rsidR="009B1CB1" w:rsidRDefault="009B1CB1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individuare nell’ambito del “sistema Terra”, le relazioni tra litosfera, idrosfera e atmosfera correlandole co</w:t>
            </w:r>
            <w:r>
              <w:rPr>
                <w:rFonts w:eastAsia="Times New Roman"/>
                <w:sz w:val="20"/>
                <w:szCs w:val="20"/>
              </w:rPr>
              <w:t>n la componente biotica degli ecosistemi</w:t>
            </w:r>
          </w:p>
          <w:p w:rsidR="009B1CB1" w:rsidRDefault="009B1CB1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tabs>
                <w:tab w:val="left" w:pos="3018"/>
              </w:tabs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 illustrare le principali  conseguenze dell’attività antropica sull’atmosfera (clima ed effetto serra, buco dell’ozonosfera, piogge acide)</w:t>
            </w:r>
          </w:p>
          <w:p w:rsidR="009B1CB1" w:rsidRDefault="009B1CB1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argomentare sul concetto di  sviluppo economico e tecnologico, distingu</w:t>
            </w:r>
            <w:r>
              <w:rPr>
                <w:rFonts w:eastAsia="Times New Roman"/>
                <w:sz w:val="20"/>
                <w:szCs w:val="20"/>
              </w:rPr>
              <w:t>ere fra  risorse rinnovabili e non rinnovabili,</w:t>
            </w:r>
          </w:p>
          <w:p w:rsidR="009B1CB1" w:rsidRDefault="00B07CDB">
            <w:pPr>
              <w:tabs>
                <w:tab w:val="left" w:pos="3018"/>
              </w:tabs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 xml:space="preserve">e i relativi impatti ambientali attuali </w:t>
            </w:r>
          </w:p>
          <w:p w:rsidR="009B1CB1" w:rsidRDefault="009B1CB1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tabs>
                <w:tab w:val="left" w:pos="3018"/>
              </w:tabs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 xml:space="preserve">- dimostrare l’importanza di un modello di sviluppo sostenibile a causa  dell’incompatibilità fra il modello di sviluppo attuale e la </w:t>
            </w:r>
            <w:r>
              <w:rPr>
                <w:rFonts w:eastAsia="Times New Roman"/>
                <w:sz w:val="20"/>
                <w:szCs w:val="20"/>
              </w:rPr>
              <w:lastRenderedPageBreak/>
              <w:t>limitatezza delle risorse del pi</w:t>
            </w:r>
            <w:r>
              <w:rPr>
                <w:rFonts w:eastAsia="Times New Roman"/>
                <w:sz w:val="20"/>
                <w:szCs w:val="20"/>
              </w:rPr>
              <w:t xml:space="preserve">aneta Terra   </w:t>
            </w:r>
          </w:p>
          <w:p w:rsidR="009B1CB1" w:rsidRDefault="009B1CB1">
            <w:pPr>
              <w:tabs>
                <w:tab w:val="left" w:pos="3018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tabs>
                <w:tab w:val="left" w:pos="3018"/>
              </w:tabs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 xml:space="preserve">- mettere in atto comportamenti singoli o sociali  per promuovere l’idea di uno sviluppo sostenibile     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Consegue così, operando in situazioni reali,  le principali competenze di cittadinanza attiva: comunica, quindi, impara a imparare, i</w:t>
            </w:r>
            <w:r>
              <w:rPr>
                <w:rFonts w:eastAsia="Times New Roman"/>
                <w:b/>
                <w:sz w:val="20"/>
                <w:szCs w:val="20"/>
              </w:rPr>
              <w:t>ndividua collegamenti e relazioni, acquisisce e  interpreta l’informazione.</w:t>
            </w:r>
          </w:p>
        </w:tc>
      </w:tr>
      <w:tr w:rsidR="009B1CB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9B1CB1">
            <w:pPr>
              <w:snapToGrid w:val="0"/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  <w:p w:rsidR="009B1CB1" w:rsidRDefault="009B1CB1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  <w:p w:rsidR="009B1CB1" w:rsidRDefault="009B1CB1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  <w:p w:rsidR="009B1CB1" w:rsidRDefault="009B1CB1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  <w:p w:rsidR="009B1CB1" w:rsidRDefault="009B1CB1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  <w:p w:rsidR="009B1CB1" w:rsidRDefault="009B1CB1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  <w:p w:rsidR="009B1CB1" w:rsidRDefault="009B1CB1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Eventuali connessioni con altre discipline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r>
              <w:rPr>
                <w:rFonts w:eastAsia="Calibri"/>
                <w:b/>
                <w:sz w:val="20"/>
                <w:szCs w:val="20"/>
              </w:rPr>
              <w:t>Lo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</w:rPr>
              <w:t>studente acquisisce la consapevolezza delle correlazioni tra le diverse discipline:</w:t>
            </w:r>
          </w:p>
          <w:p w:rsidR="009B1CB1" w:rsidRDefault="009B1CB1">
            <w:pPr>
              <w:spacing w:line="240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9B1CB1" w:rsidRDefault="00B07CDB">
            <w:pPr>
              <w:spacing w:line="240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Scienze, Filosofia, Religione, Inglese</w:t>
            </w:r>
          </w:p>
          <w:p w:rsidR="009B1CB1" w:rsidRDefault="00B07CDB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“</w:t>
            </w:r>
            <w:r>
              <w:rPr>
                <w:rFonts w:eastAsia="Calibri"/>
                <w:sz w:val="20"/>
                <w:szCs w:val="20"/>
                <w:u w:val="single"/>
              </w:rPr>
              <w:t>Bioetica”</w:t>
            </w:r>
            <w:r>
              <w:rPr>
                <w:rFonts w:eastAsia="Calibri"/>
                <w:sz w:val="20"/>
                <w:szCs w:val="20"/>
              </w:rPr>
              <w:t xml:space="preserve">: comprenderà </w:t>
            </w:r>
            <w:r>
              <w:rPr>
                <w:rFonts w:eastAsia="Times New Roman"/>
                <w:sz w:val="20"/>
                <w:szCs w:val="20"/>
              </w:rPr>
              <w:t>le implicazioni  etiche dello sviluppo della genetica e della biologia molecolare,  dall’eugenetica del secolo scorso alle potenzialità delle tecniche del DNA ricombinante di oggi (utilizzo delle cellule staminali, ricerca ed embrion</w:t>
            </w:r>
            <w:r>
              <w:rPr>
                <w:rFonts w:eastAsia="Times New Roman"/>
                <w:sz w:val="20"/>
                <w:szCs w:val="20"/>
              </w:rPr>
              <w:t xml:space="preserve">i, Organismi Geneticamente Modificati) </w:t>
            </w:r>
          </w:p>
          <w:p w:rsidR="009B1CB1" w:rsidRDefault="00B07CD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Riguardo a tale tema: ricerca e seleziona informazioni, opera confronti nelle diverse discipline coinvolte sui diversi aspetti  della Bioetica;  sa sostenere la sua posizione in un dibattito o in un intervento orale,</w:t>
            </w:r>
            <w:r>
              <w:rPr>
                <w:rFonts w:eastAsia="Times New Roman"/>
                <w:sz w:val="20"/>
                <w:szCs w:val="20"/>
              </w:rPr>
              <w:t xml:space="preserve">  sa presentare il tema anche ricorrendo all’ausilio della multimedialità, utilizzando il registro più adeguato nelle diverse situazioni comunicative. </w:t>
            </w:r>
          </w:p>
          <w:p w:rsidR="009B1CB1" w:rsidRDefault="009B1CB1">
            <w:pPr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jc w:val="both"/>
            </w:pPr>
            <w:r>
              <w:rPr>
                <w:i/>
                <w:sz w:val="20"/>
                <w:szCs w:val="20"/>
              </w:rPr>
              <w:t xml:space="preserve">Scienze della Terra e Fisica </w:t>
            </w:r>
          </w:p>
          <w:p w:rsidR="009B1CB1" w:rsidRDefault="00B07CDB">
            <w:pPr>
              <w:spacing w:line="240" w:lineRule="auto"/>
              <w:jc w:val="both"/>
            </w:pPr>
            <w:r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  <w:u w:val="single"/>
              </w:rPr>
              <w:t>Il paleomagnetismo</w:t>
            </w:r>
            <w:r>
              <w:rPr>
                <w:sz w:val="20"/>
                <w:szCs w:val="20"/>
              </w:rPr>
              <w:t>”</w:t>
            </w:r>
          </w:p>
          <w:p w:rsidR="009B1CB1" w:rsidRDefault="00B07CDB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documenterà sui cambiamenti del campo magnetico t</w:t>
            </w:r>
            <w:r>
              <w:rPr>
                <w:sz w:val="20"/>
                <w:szCs w:val="20"/>
              </w:rPr>
              <w:t>errestre avvenuti nel corso dell’evoluzione del nostro pianeta.</w:t>
            </w:r>
          </w:p>
          <w:p w:rsidR="00B07CDB" w:rsidRDefault="00B07CDB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B07CDB" w:rsidRDefault="00B07CDB" w:rsidP="00B07CDB">
            <w:pPr>
              <w:spacing w:line="240" w:lineRule="auto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Struttura interna della Terra e gravità terrestre</w:t>
            </w:r>
          </w:p>
          <w:p w:rsidR="00B07CDB" w:rsidRPr="00B07CDB" w:rsidRDefault="00B07CDB" w:rsidP="00B07CDB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B07CDB">
              <w:rPr>
                <w:sz w:val="20"/>
                <w:szCs w:val="20"/>
              </w:rPr>
              <w:t>Metterà</w:t>
            </w:r>
            <w:r>
              <w:rPr>
                <w:sz w:val="20"/>
                <w:szCs w:val="20"/>
              </w:rPr>
              <w:t xml:space="preserve"> in evidenza che l’accelerazione di gravità dipende dalla densità dei materiali che costituiscono la Terra, dalle irregolarità della superficie terrestre e dalla forma del nostro pianeta.</w:t>
            </w:r>
          </w:p>
          <w:p w:rsidR="009B1CB1" w:rsidRDefault="009B1CB1">
            <w:pPr>
              <w:spacing w:line="240" w:lineRule="auto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9B1CB1" w:rsidRDefault="00B07CDB">
            <w:pPr>
              <w:spacing w:line="240" w:lineRule="auto"/>
              <w:jc w:val="both"/>
            </w:pPr>
            <w:r>
              <w:rPr>
                <w:sz w:val="20"/>
                <w:szCs w:val="20"/>
              </w:rPr>
              <w:t xml:space="preserve">Biochimica  e Scienze motorie </w:t>
            </w:r>
          </w:p>
          <w:p w:rsidR="009B1CB1" w:rsidRDefault="00B07CDB">
            <w:pPr>
              <w:spacing w:line="240" w:lineRule="auto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“Metabolismo energetico”</w:t>
            </w:r>
          </w:p>
          <w:p w:rsidR="009B1CB1" w:rsidRDefault="00B07CDB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Sistema aerobico e anaerobico. Il ruolo dell’ATP nell’attività motoria.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9B1CB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Prestazioni complesse osservabili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pPr>
              <w:spacing w:line="240" w:lineRule="auto"/>
            </w:pPr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  <w:u w:val="single"/>
              </w:rPr>
              <w:t xml:space="preserve">Dato un problema di </w:t>
            </w:r>
            <w:r>
              <w:rPr>
                <w:rFonts w:eastAsia="Calibri"/>
                <w:sz w:val="20"/>
                <w:szCs w:val="20"/>
                <w:u w:val="single"/>
              </w:rPr>
              <w:t>realtà:</w:t>
            </w:r>
            <w:r>
              <w:rPr>
                <w:rFonts w:eastAsia="Calibri"/>
                <w:sz w:val="20"/>
                <w:szCs w:val="20"/>
              </w:rPr>
              <w:t xml:space="preserve"> individua  </w:t>
            </w:r>
            <w:r>
              <w:rPr>
                <w:rFonts w:eastAsia="Times New Roman"/>
                <w:sz w:val="20"/>
                <w:szCs w:val="20"/>
              </w:rPr>
              <w:t xml:space="preserve">ed estrapola autonomamente i dati rilevanti,  che sa rielaborare sia attraverso una corretta </w:t>
            </w:r>
          </w:p>
          <w:p w:rsidR="009B1CB1" w:rsidRDefault="00B07CDB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esposizione ricorrendo al linguaggio specifico delle discipline scientifiche sia riconducendoli ai diversi linguaggi simbolici delle scienze na</w:t>
            </w:r>
            <w:r>
              <w:rPr>
                <w:rFonts w:eastAsia="Times New Roman"/>
                <w:sz w:val="20"/>
                <w:szCs w:val="20"/>
              </w:rPr>
              <w:t>turali, ricorrendo cioè ad equazioni chimiche, formule matematiche, grafici, schemi, tabelle, modelli e formule di struttura</w:t>
            </w:r>
          </w:p>
          <w:p w:rsidR="009B1CB1" w:rsidRDefault="009B1CB1">
            <w:pPr>
              <w:rPr>
                <w:rFonts w:eastAsia="Calibri"/>
                <w:color w:val="FF0000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</w:pPr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  <w:u w:val="single"/>
              </w:rPr>
              <w:t>Dato un testo scientifico</w:t>
            </w:r>
            <w:r>
              <w:rPr>
                <w:rFonts w:eastAsia="Calibri"/>
                <w:sz w:val="20"/>
                <w:szCs w:val="20"/>
              </w:rPr>
              <w:t xml:space="preserve"> (anche in lingua inglese): </w:t>
            </w:r>
            <w:r>
              <w:rPr>
                <w:rFonts w:eastAsia="Times New Roman"/>
                <w:sz w:val="20"/>
                <w:szCs w:val="20"/>
              </w:rPr>
              <w:t>distingue la natura divulgativa o specialistica del testo, si orienta nei diversi ambiti di una rivista scientifica (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abstract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, materiali e metodi, discussioni e risultati), sa decodificare il testo sia  in italiano che in inglese, riconoscendo anche l’ imp</w:t>
            </w:r>
            <w:r>
              <w:rPr>
                <w:rFonts w:eastAsia="Times New Roman"/>
                <w:sz w:val="20"/>
                <w:szCs w:val="20"/>
              </w:rPr>
              <w:t xml:space="preserve">ortanza della bibliografia associata a un articolo scientifico  </w:t>
            </w:r>
          </w:p>
          <w:p w:rsidR="009B1CB1" w:rsidRDefault="009B1CB1">
            <w:pPr>
              <w:rPr>
                <w:rFonts w:eastAsia="Calibri"/>
                <w:color w:val="FF0000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rFonts w:eastAsia="Times New Roman"/>
                <w:sz w:val="20"/>
                <w:szCs w:val="20"/>
                <w:u w:val="single"/>
              </w:rPr>
              <w:t>Partendo dall’osservazione di un fenomeno naturale</w:t>
            </w:r>
            <w:r>
              <w:rPr>
                <w:rFonts w:eastAsia="Times New Roman"/>
                <w:sz w:val="20"/>
                <w:szCs w:val="20"/>
              </w:rPr>
              <w:t>: enuclea le informazioni  significative, tramite l’osservazione diretta e operazioni di misura, per ricercare schemi e ricondurle a leggi,</w:t>
            </w:r>
            <w:r>
              <w:rPr>
                <w:rFonts w:eastAsia="Times New Roman"/>
                <w:sz w:val="20"/>
                <w:szCs w:val="20"/>
              </w:rPr>
              <w:t xml:space="preserve"> e le traduce nei linguaggi specifici delle scienze naturali e/o della matematica 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-</w:t>
            </w:r>
            <w:r>
              <w:rPr>
                <w:rFonts w:eastAsia="Calibri"/>
                <w:sz w:val="20"/>
                <w:szCs w:val="20"/>
                <w:u w:val="single"/>
              </w:rPr>
              <w:t xml:space="preserve">In caso di eventi naturali </w:t>
            </w:r>
            <w:r>
              <w:rPr>
                <w:rFonts w:eastAsia="Calibri"/>
                <w:sz w:val="20"/>
                <w:szCs w:val="20"/>
              </w:rPr>
              <w:t>(quale un fenomeno sismico e/o orogenetico, un fenomeno vulcanico): sa motivarli e ricondurli al modello generale della Tettonica delle placche,</w:t>
            </w:r>
            <w:r>
              <w:rPr>
                <w:rFonts w:eastAsia="Calibri"/>
                <w:sz w:val="20"/>
                <w:szCs w:val="20"/>
              </w:rPr>
              <w:t xml:space="preserve"> riconoscendoli come causa naturale dell’evoluzione dinamica della Terra</w:t>
            </w:r>
          </w:p>
          <w:p w:rsidR="009B1CB1" w:rsidRDefault="009B1CB1">
            <w:pPr>
              <w:rPr>
                <w:rFonts w:eastAsia="Calibri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rFonts w:eastAsia="Times New Roman"/>
                <w:sz w:val="20"/>
                <w:szCs w:val="20"/>
                <w:u w:val="single"/>
              </w:rPr>
              <w:t xml:space="preserve">In contesti reali e quotidiani </w:t>
            </w:r>
            <w:r>
              <w:rPr>
                <w:rFonts w:eastAsia="Times New Roman"/>
                <w:sz w:val="20"/>
                <w:szCs w:val="20"/>
              </w:rPr>
              <w:t>: riconosce nelle sostanze di utilizzo comune (alimenti, farmaci, detergenti, sostanze varie di uso comune, etc.) le sostanze organiche studiate, sa d</w:t>
            </w:r>
            <w:r>
              <w:rPr>
                <w:rFonts w:eastAsia="Times New Roman"/>
                <w:sz w:val="20"/>
                <w:szCs w:val="20"/>
              </w:rPr>
              <w:t>enominarle e ricostruirle mediante modelli anche ricorrendo all’ausilio di software (es. “Avogadro”)</w:t>
            </w:r>
          </w:p>
          <w:p w:rsidR="009B1CB1" w:rsidRDefault="009B1CB1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rFonts w:eastAsia="Times New Roman"/>
                <w:sz w:val="20"/>
                <w:szCs w:val="20"/>
                <w:u w:val="single"/>
              </w:rPr>
              <w:t>Per scopi di studio</w:t>
            </w:r>
            <w:r>
              <w:rPr>
                <w:rFonts w:eastAsia="Times New Roman"/>
                <w:sz w:val="20"/>
                <w:szCs w:val="20"/>
              </w:rPr>
              <w:t xml:space="preserve">: sa documentarsi sulle principali teorie, i nuclei fondanti delle scienze naturali e le relative vicende storiche,  attingendo a testi scientifici, siti internet e articoli,  valutandone criticamente il grado di attendibilità </w:t>
            </w:r>
          </w:p>
          <w:p w:rsidR="009B1CB1" w:rsidRDefault="009B1CB1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u w:val="single"/>
              </w:rPr>
              <w:t>In contesti di realtà</w:t>
            </w:r>
            <w:r>
              <w:rPr>
                <w:rFonts w:eastAsia="Times New Roman"/>
                <w:sz w:val="20"/>
                <w:szCs w:val="20"/>
              </w:rPr>
              <w:t>: co</w:t>
            </w:r>
            <w:r>
              <w:rPr>
                <w:rFonts w:eastAsia="Times New Roman"/>
                <w:sz w:val="20"/>
                <w:szCs w:val="20"/>
              </w:rPr>
              <w:t xml:space="preserve">glie connessioni originali fra il proprio vissuto e le diverse situazioni  già affrontate  durante le attività di studio </w:t>
            </w:r>
          </w:p>
          <w:p w:rsidR="009B1CB1" w:rsidRDefault="009B1CB1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rFonts w:eastAsia="Times New Roman"/>
                <w:sz w:val="20"/>
                <w:szCs w:val="20"/>
                <w:u w:val="single"/>
              </w:rPr>
              <w:t>Usa in modo corretto, autonomo  ed efficace</w:t>
            </w:r>
            <w:r>
              <w:rPr>
                <w:rFonts w:eastAsia="Times New Roman"/>
                <w:sz w:val="20"/>
                <w:szCs w:val="20"/>
              </w:rPr>
              <w:t xml:space="preserve"> i sistemi per lo scambio di dati e informazioni (strumenti multimediali, rete, ambienti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cloud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</w:t>
            </w:r>
          </w:p>
          <w:p w:rsidR="009B1CB1" w:rsidRDefault="009B1CB1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</w:rPr>
            </w:pPr>
          </w:p>
          <w:p w:rsidR="009B1CB1" w:rsidRDefault="00B07CDB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rFonts w:eastAsia="Times New Roman"/>
                <w:sz w:val="20"/>
                <w:szCs w:val="20"/>
                <w:u w:val="single"/>
              </w:rPr>
              <w:t>Nello svolgimento delle attività di studio e laboratoriali</w:t>
            </w:r>
            <w:r>
              <w:rPr>
                <w:rFonts w:eastAsia="Times New Roman"/>
                <w:sz w:val="20"/>
                <w:szCs w:val="20"/>
              </w:rPr>
              <w:t xml:space="preserve"> sa organizzarsi in gruppo e lavorare produttivamente,  interagendo  correttamente con insegnanti e compagni</w:t>
            </w:r>
          </w:p>
          <w:p w:rsidR="009B1CB1" w:rsidRDefault="009B1CB1">
            <w:pPr>
              <w:rPr>
                <w:rFonts w:eastAsia="Calibri"/>
                <w:color w:val="FF0000"/>
                <w:sz w:val="20"/>
                <w:szCs w:val="20"/>
              </w:rPr>
            </w:pPr>
          </w:p>
          <w:p w:rsidR="009B1CB1" w:rsidRDefault="00B07CD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 LABORATORIO:</w:t>
            </w:r>
          </w:p>
          <w:p w:rsidR="009B1CB1" w:rsidRDefault="00B07CD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  <w:u w:val="single"/>
              </w:rPr>
              <w:t>Applica</w:t>
            </w:r>
            <w:r>
              <w:rPr>
                <w:rFonts w:eastAsia="Times New Roman"/>
                <w:sz w:val="20"/>
                <w:szCs w:val="20"/>
              </w:rPr>
              <w:t xml:space="preserve"> ciò che la normativa sulla sicurezza impone, rispetta</w:t>
            </w:r>
            <w:r>
              <w:rPr>
                <w:rFonts w:eastAsia="Times New Roman"/>
                <w:sz w:val="20"/>
                <w:szCs w:val="20"/>
              </w:rPr>
              <w:t xml:space="preserve">ndo le norme di comportamento e di utilizzo del laboratorio </w:t>
            </w: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u w:val="single"/>
              </w:rPr>
              <w:t>Sa condurre</w:t>
            </w:r>
            <w:r>
              <w:rPr>
                <w:rFonts w:eastAsia="Times New Roman"/>
                <w:sz w:val="20"/>
                <w:szCs w:val="20"/>
              </w:rPr>
              <w:t xml:space="preserve"> autonomamente un’esperienza per arrivare alla sintesi di composti organici </w:t>
            </w:r>
          </w:p>
          <w:p w:rsidR="009B1CB1" w:rsidRDefault="00B07CDB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u w:val="single"/>
              </w:rPr>
              <w:t>Sa elaborare</w:t>
            </w:r>
            <w:r>
              <w:rPr>
                <w:rFonts w:eastAsia="Times New Roman"/>
                <w:sz w:val="20"/>
                <w:szCs w:val="20"/>
              </w:rPr>
              <w:t xml:space="preserve"> ipotesi, pianificare esperimenti e individuare la strumentazione più adeguata per lo svolg</w:t>
            </w:r>
            <w:r>
              <w:rPr>
                <w:rFonts w:eastAsia="Times New Roman"/>
                <w:sz w:val="20"/>
                <w:szCs w:val="20"/>
              </w:rPr>
              <w:t>imento di un compito ed elaborare un protocollo di lavoro di validazione di tali ipotesi.</w:t>
            </w:r>
          </w:p>
          <w:p w:rsidR="009B1CB1" w:rsidRDefault="00B07CD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  <w:u w:val="single"/>
              </w:rPr>
              <w:t>Sa redigere una relazione scientifica</w:t>
            </w:r>
            <w:r>
              <w:rPr>
                <w:rFonts w:eastAsia="Calibri"/>
                <w:sz w:val="20"/>
                <w:szCs w:val="20"/>
              </w:rPr>
              <w:t xml:space="preserve">, riportando con rigore e chiarezza i diversi momenti di un’esperienza di laboratorio e sa  discutere e analizzare i risultati </w:t>
            </w:r>
            <w:r>
              <w:rPr>
                <w:rFonts w:eastAsia="Calibri"/>
                <w:sz w:val="20"/>
                <w:szCs w:val="20"/>
              </w:rPr>
              <w:t>utilizzando il lessico appropriato</w:t>
            </w:r>
          </w:p>
          <w:p w:rsidR="009B1CB1" w:rsidRDefault="00B07CDB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u w:val="single"/>
              </w:rPr>
              <w:t>E’ in grado di formulare</w:t>
            </w:r>
            <w:r>
              <w:rPr>
                <w:rFonts w:eastAsia="Times New Roman"/>
                <w:sz w:val="20"/>
                <w:szCs w:val="20"/>
              </w:rPr>
              <w:t xml:space="preserve"> un semplice modello, al fine di spiegare gli esiti di un esperimento</w:t>
            </w:r>
          </w:p>
        </w:tc>
      </w:tr>
      <w:tr w:rsidR="009B1CB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Tipologia di verifica</w:t>
            </w:r>
          </w:p>
          <w:p w:rsidR="009B1CB1" w:rsidRDefault="009B1CB1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1CB1" w:rsidRDefault="00B07CDB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Gli strumenti di verifica saranno diversificati e potranno comprendere,  in relazione al percorso,  le seguenti tipologie: </w:t>
            </w:r>
          </w:p>
          <w:p w:rsidR="009B1CB1" w:rsidRDefault="00B07CDB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osservazioni dirette</w:t>
            </w:r>
          </w:p>
          <w:p w:rsidR="009B1CB1" w:rsidRDefault="00B07CDB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controllo dei lavori svolti</w:t>
            </w:r>
          </w:p>
          <w:p w:rsidR="009B1CB1" w:rsidRDefault="00B07CDB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interventi nelle lezioni dialogiche</w:t>
            </w:r>
          </w:p>
          <w:p w:rsidR="009B1CB1" w:rsidRDefault="00B07CDB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prove scritte </w:t>
            </w:r>
          </w:p>
          <w:p w:rsidR="009B1CB1" w:rsidRDefault="00B07CDB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costruzione di tabelle, di grafi</w:t>
            </w:r>
            <w:r>
              <w:rPr>
                <w:rFonts w:eastAsia="Calibri"/>
                <w:sz w:val="20"/>
                <w:szCs w:val="20"/>
              </w:rPr>
              <w:t>ci ed eventuale stesura di relazioni</w:t>
            </w:r>
          </w:p>
          <w:p w:rsidR="009B1CB1" w:rsidRDefault="00B07CDB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sintesi ragionata e analisi di testi scientifici</w:t>
            </w:r>
          </w:p>
          <w:p w:rsidR="009B1CB1" w:rsidRDefault="00B07CDB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prove di realtà</w:t>
            </w:r>
          </w:p>
        </w:tc>
      </w:tr>
    </w:tbl>
    <w:p w:rsidR="009B1CB1" w:rsidRDefault="009B1CB1"/>
    <w:sectPr w:rsidR="009B1CB1">
      <w:pgSz w:w="16838" w:h="11906" w:orient="landscape"/>
      <w:pgMar w:top="1134" w:right="1134" w:bottom="113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8289B0t00;MS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63DB0"/>
    <w:multiLevelType w:val="multilevel"/>
    <w:tmpl w:val="9154EB2C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EB175D"/>
    <w:multiLevelType w:val="multilevel"/>
    <w:tmpl w:val="DEDA1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B1CB1"/>
    <w:rsid w:val="009B1CB1"/>
    <w:rsid w:val="00B0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eastAsia="Times New Roman" w:hAnsi="Arial" w:cs="Aria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Arial" w:eastAsia="Arial" w:hAnsi="Arial" w:cs="Arial"/>
      <w:i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Arial" w:eastAsia="Times New Roman" w:hAnsi="Arial" w:cs="Aria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Arial" w:eastAsia="Times New Roman" w:hAnsi="Arial" w:cs="Aria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Arial" w:eastAsia="Times New Roman" w:hAnsi="Arial" w:cs="Aria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Arial" w:eastAsia="Times New Roman" w:hAnsi="Arial" w:cs="Aria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Calibri" w:eastAsia="Calibri" w:hAnsi="Calibri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Arial" w:eastAsia="Times New Roman" w:hAnsi="Arial" w:cs="Aria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Arial" w:eastAsia="Times New Roman" w:hAnsi="Aria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Arial" w:eastAsia="Times New Roman" w:hAnsi="Arial" w:cs="Aria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Cambria" w:eastAsia="Times New Roman" w:hAnsi="Cambria" w:cs="Times New Roman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Calibri" w:eastAsia="Calibri" w:hAnsi="Calibri" w:cs="Calibri"/>
      <w:color w:val="FF0000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7C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7CDB"/>
    <w:rPr>
      <w:rFonts w:ascii="Tahoma" w:eastAsia="Arial" w:hAnsi="Tahoma" w:cs="Tahoma"/>
      <w:color w:val="000000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2033</Words>
  <Characters>11594</Characters>
  <Application>Microsoft Office Word</Application>
  <DocSecurity>0</DocSecurity>
  <Lines>96</Lines>
  <Paragraphs>27</Paragraphs>
  <ScaleCrop>false</ScaleCrop>
  <Company>Hewlett-Packard</Company>
  <LinksUpToDate>false</LinksUpToDate>
  <CharactersWithSpaces>13600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dc:description/>
  <cp:lastModifiedBy>paola</cp:lastModifiedBy>
  <cp:revision>40</cp:revision>
  <cp:lastPrinted>2017-01-04T23:02:00Z</cp:lastPrinted>
  <dcterms:created xsi:type="dcterms:W3CDTF">2016-10-10T00:13:00Z</dcterms:created>
  <dcterms:modified xsi:type="dcterms:W3CDTF">2017-10-05T16:44:00Z</dcterms:modified>
  <dc:language>it-IT</dc:language>
</cp:coreProperties>
</file>